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3F" w:rsidRDefault="0079733F" w:rsidP="0079733F">
      <w:pPr>
        <w:rPr>
          <w:rFonts w:asciiTheme="minorHAnsi" w:eastAsia="Arial" w:hAnsiTheme="minorHAnsi" w:cs="DroidSans-Bold"/>
          <w:b/>
          <w:bCs/>
          <w:color w:val="002060"/>
          <w:sz w:val="28"/>
          <w:szCs w:val="26"/>
          <w:lang w:eastAsia="es-AR"/>
        </w:rPr>
      </w:pPr>
    </w:p>
    <w:p w:rsidR="0079733F" w:rsidRPr="00E03BDD" w:rsidRDefault="0079733F" w:rsidP="0079733F">
      <w:pPr>
        <w:rPr>
          <w:rFonts w:asciiTheme="minorHAnsi" w:eastAsia="Arial" w:hAnsiTheme="minorHAnsi" w:cs="DroidSans-Bold"/>
          <w:b/>
          <w:bCs/>
          <w:color w:val="002060"/>
          <w:sz w:val="28"/>
          <w:szCs w:val="26"/>
          <w:lang w:eastAsia="es-AR"/>
        </w:rPr>
      </w:pPr>
      <w:r w:rsidRPr="00E03BDD">
        <w:rPr>
          <w:rFonts w:asciiTheme="minorHAnsi" w:eastAsia="Arial" w:hAnsiTheme="minorHAnsi" w:cs="DroidSans-Bold"/>
          <w:b/>
          <w:bCs/>
          <w:color w:val="002060"/>
          <w:sz w:val="28"/>
          <w:szCs w:val="26"/>
          <w:lang w:eastAsia="es-AR"/>
        </w:rPr>
        <w:t>PROTOCOLO PARA ESTABLECIMIENTOS QUE DESARROLLEN ACTIVIDADES DE COBRANZA DE SERVICIOS E IMPUESTOS</w:t>
      </w:r>
    </w:p>
    <w:p w:rsidR="0079733F" w:rsidRPr="00E03BDD" w:rsidRDefault="0079733F" w:rsidP="0079733F">
      <w:pPr>
        <w:rPr>
          <w:rFonts w:asciiTheme="minorHAnsi" w:eastAsia="Arial" w:hAnsiTheme="minorHAnsi" w:cs="DroidSans-Bold"/>
          <w:b/>
          <w:bCs/>
          <w:color w:val="002060"/>
          <w:sz w:val="28"/>
          <w:szCs w:val="26"/>
          <w:lang w:eastAsia="es-AR"/>
        </w:rPr>
      </w:pPr>
    </w:p>
    <w:p w:rsidR="0079733F" w:rsidRPr="0079733F" w:rsidRDefault="0079733F" w:rsidP="0079733F">
      <w:pPr>
        <w:rPr>
          <w:rFonts w:asciiTheme="minorHAnsi" w:eastAsia="Helvetica Neue" w:hAnsiTheme="minorHAnsi" w:cs="Helvetica Neue"/>
          <w:b/>
          <w:color w:val="002060"/>
          <w:sz w:val="28"/>
          <w:szCs w:val="28"/>
        </w:rPr>
      </w:pPr>
      <w:r w:rsidRPr="0079733F">
        <w:rPr>
          <w:rFonts w:asciiTheme="minorHAnsi" w:eastAsia="Helvetica Neue" w:hAnsiTheme="minorHAnsi" w:cs="Helvetica Neue"/>
          <w:b/>
          <w:color w:val="002060"/>
          <w:sz w:val="28"/>
          <w:szCs w:val="28"/>
        </w:rPr>
        <w:t>CONTROL ACCESO PERSONAS AL ESTABLECIMIENTO</w:t>
      </w:r>
    </w:p>
    <w:p w:rsidR="0079733F" w:rsidRDefault="0079733F" w:rsidP="0079733F">
      <w:pPr>
        <w:rPr>
          <w:rFonts w:asciiTheme="minorHAnsi" w:eastAsia="Helvetica Neue" w:hAnsiTheme="minorHAnsi" w:cs="Helvetica Neue"/>
        </w:rPr>
      </w:pPr>
    </w:p>
    <w:p w:rsidR="0079733F" w:rsidRDefault="0079733F" w:rsidP="0079733F">
      <w:pPr>
        <w:numPr>
          <w:ilvl w:val="0"/>
          <w:numId w:val="11"/>
        </w:numPr>
        <w:ind w:left="426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>Comprobación de ausencia de sintomatología en los clientes y personal (no tos, no problemas respiratorios, no fiebre). En lo posible, controlar la temperatura previo a la entrada en el local comercial y debe ser menor de 37ºC. En caso de presentar síntomas, abstenerse de concurrencia al trabajo, informar a la empresa a la brevedad y aislarse en su domicilio durante dos semanas o hasta su completa curación.</w:t>
      </w:r>
    </w:p>
    <w:p w:rsidR="0079733F" w:rsidRDefault="0079733F" w:rsidP="0079733F">
      <w:pPr>
        <w:numPr>
          <w:ilvl w:val="0"/>
          <w:numId w:val="11"/>
        </w:numPr>
        <w:ind w:left="426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 xml:space="preserve">Nuevas incorporaciones: a) </w:t>
      </w:r>
      <w:r>
        <w:rPr>
          <w:rFonts w:asciiTheme="minorHAnsi" w:eastAsia="Helvetica Neue" w:hAnsiTheme="minorHAnsi" w:cs="Helvetica Neue"/>
          <w:color w:val="000000"/>
          <w:sz w:val="22"/>
          <w:szCs w:val="22"/>
        </w:rPr>
        <w:t>Comprobar la procedencia de trabajadores/as, y en caso de origen dudoso por haber tenido contacto con alguna persona afectada por la enfermedad limitar o suspender temporalmente el ingreso, b) comprobar personas de especial sensibilidad con incidencia en coronavirus y establecer las medidas de prevención y control para garantizar su salud.</w:t>
      </w:r>
    </w:p>
    <w:p w:rsidR="0079733F" w:rsidRPr="0079733F" w:rsidRDefault="0079733F" w:rsidP="0079733F">
      <w:pPr>
        <w:numPr>
          <w:ilvl w:val="0"/>
          <w:numId w:val="11"/>
        </w:numPr>
        <w:ind w:left="426"/>
        <w:jc w:val="both"/>
        <w:rPr>
          <w:rFonts w:asciiTheme="minorHAnsi" w:eastAsia="Helvetica Neue" w:hAnsiTheme="minorHAnsi" w:cs="Helvetica Neue"/>
          <w:color w:val="000000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 xml:space="preserve">Control de acceso de personal externo. Se aplicarán los mismos controles que al propio respecto al acceso y se limitará al estricto e imprescindible para mantenimiento de la actividad. Los movimientos dentro del local del personal externo deberán estar limitados sólo a las áreas donde se requiera su presencia. </w:t>
      </w:r>
    </w:p>
    <w:p w:rsidR="0079733F" w:rsidRDefault="0079733F" w:rsidP="0079733F">
      <w:pPr>
        <w:ind w:left="426"/>
        <w:jc w:val="both"/>
        <w:rPr>
          <w:rFonts w:asciiTheme="minorHAnsi" w:eastAsia="Helvetica Neue" w:hAnsiTheme="minorHAnsi" w:cs="Helvetica Neue"/>
          <w:color w:val="000000"/>
          <w:highlight w:val="white"/>
        </w:rPr>
      </w:pPr>
    </w:p>
    <w:p w:rsidR="0079733F" w:rsidRPr="00357D03" w:rsidRDefault="0079733F" w:rsidP="0079733F">
      <w:pPr>
        <w:rPr>
          <w:rFonts w:asciiTheme="minorHAnsi" w:eastAsia="Helvetica Neue" w:hAnsiTheme="minorHAnsi" w:cs="Helvetica Neue"/>
          <w:b/>
          <w:color w:val="002060"/>
          <w:sz w:val="28"/>
          <w:szCs w:val="28"/>
        </w:rPr>
      </w:pPr>
      <w:r w:rsidRPr="00357D03">
        <w:rPr>
          <w:rFonts w:asciiTheme="minorHAnsi" w:eastAsia="Helvetica Neue" w:hAnsiTheme="minorHAnsi" w:cs="Helvetica Neue"/>
          <w:b/>
          <w:color w:val="002060"/>
          <w:sz w:val="28"/>
          <w:szCs w:val="28"/>
        </w:rPr>
        <w:t>MEDIDAS ESPECÍFICAS DE PREVENCIÓN</w:t>
      </w:r>
    </w:p>
    <w:p w:rsidR="0079733F" w:rsidRDefault="0079733F" w:rsidP="0079733F">
      <w:pPr>
        <w:ind w:left="720"/>
        <w:rPr>
          <w:rFonts w:asciiTheme="minorHAnsi" w:eastAsia="Helvetica Neue" w:hAnsiTheme="minorHAnsi" w:cs="Helvetica Neue"/>
          <w:color w:val="808080"/>
          <w:highlight w:val="white"/>
        </w:rPr>
      </w:pPr>
    </w:p>
    <w:p w:rsidR="0079733F" w:rsidRDefault="0079733F" w:rsidP="0079733F">
      <w:pPr>
        <w:numPr>
          <w:ilvl w:val="0"/>
          <w:numId w:val="11"/>
        </w:numPr>
        <w:ind w:left="426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>Disponer, en lo posible, un sistema de turnos rotativos del personal de trabajo, de modo de reducir la congestión y circulación de personas.</w:t>
      </w:r>
    </w:p>
    <w:p w:rsidR="0079733F" w:rsidRDefault="0079733F" w:rsidP="0079733F">
      <w:pPr>
        <w:numPr>
          <w:ilvl w:val="0"/>
          <w:numId w:val="11"/>
        </w:numPr>
        <w:ind w:left="426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 xml:space="preserve">Establecer horarios especiales de atención exclusivos para mayores de 65 años. </w:t>
      </w:r>
    </w:p>
    <w:p w:rsidR="0079733F" w:rsidRDefault="0079733F" w:rsidP="0079733F">
      <w:pPr>
        <w:numPr>
          <w:ilvl w:val="0"/>
          <w:numId w:val="11"/>
        </w:numPr>
        <w:ind w:left="426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 xml:space="preserve">Disponer de personal que controle los accesos y evitar aglomeraciones de personas en los locales. </w:t>
      </w:r>
    </w:p>
    <w:p w:rsidR="0079733F" w:rsidRDefault="0079733F" w:rsidP="0079733F">
      <w:pPr>
        <w:numPr>
          <w:ilvl w:val="0"/>
          <w:numId w:val="11"/>
        </w:numPr>
        <w:ind w:left="426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 xml:space="preserve">Señalizar los lugares de espera para mantener una distancia de 1,5 metros entre vendedor-cliente y entre clientes. </w:t>
      </w:r>
    </w:p>
    <w:p w:rsidR="0079733F" w:rsidRDefault="0079733F" w:rsidP="0079733F">
      <w:pPr>
        <w:numPr>
          <w:ilvl w:val="0"/>
          <w:numId w:val="11"/>
        </w:numPr>
        <w:ind w:left="426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>En caso que la necesidad de distanciamiento mínimo no permita la permanencia de los clientes dentro del local, se deberá continuar con la espera en la vía pública, debiendo las personas y el local asegurarse que permanezcan con los distanciamientos referidos.</w:t>
      </w:r>
    </w:p>
    <w:p w:rsidR="0079733F" w:rsidRDefault="0079733F" w:rsidP="0079733F">
      <w:pPr>
        <w:numPr>
          <w:ilvl w:val="0"/>
          <w:numId w:val="11"/>
        </w:numPr>
        <w:ind w:left="426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 xml:space="preserve">Distribuir alcohol en gel, </w:t>
      </w:r>
      <w:proofErr w:type="spellStart"/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>sanitiza</w:t>
      </w:r>
      <w:r w:rsidR="00EF7A4A"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>ntes</w:t>
      </w:r>
      <w:proofErr w:type="spellEnd"/>
      <w:r w:rsidR="00EF7A4A"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 xml:space="preserve"> en accesos a los locales. </w:t>
      </w:r>
      <w:bookmarkStart w:id="0" w:name="_GoBack"/>
      <w:bookmarkEnd w:id="0"/>
    </w:p>
    <w:p w:rsidR="0079733F" w:rsidRDefault="0079733F" w:rsidP="0079733F">
      <w:pPr>
        <w:numPr>
          <w:ilvl w:val="0"/>
          <w:numId w:val="11"/>
        </w:numPr>
        <w:ind w:left="426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 xml:space="preserve"> Fomentar el pago con tarjeta de débito y crédito. </w:t>
      </w:r>
    </w:p>
    <w:p w:rsidR="0079733F" w:rsidRDefault="0079733F" w:rsidP="0079733F">
      <w:pPr>
        <w:numPr>
          <w:ilvl w:val="0"/>
          <w:numId w:val="11"/>
        </w:numPr>
        <w:ind w:left="426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 xml:space="preserve">Usar mamparas en las cajas de cobro que aseguren la protección de vendedor/cliente. </w:t>
      </w:r>
    </w:p>
    <w:p w:rsidR="0079733F" w:rsidRDefault="0079733F" w:rsidP="0079733F">
      <w:pPr>
        <w:numPr>
          <w:ilvl w:val="0"/>
          <w:numId w:val="11"/>
        </w:numPr>
        <w:ind w:left="426"/>
        <w:jc w:val="both"/>
        <w:rPr>
          <w:rFonts w:asciiTheme="minorHAnsi" w:eastAsia="Helvetica Neue" w:hAnsiTheme="minorHAnsi" w:cs="Helvetica Neue"/>
          <w:color w:val="808080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>Asegurar la distancia entre el cliente y empleado</w:t>
      </w:r>
    </w:p>
    <w:p w:rsidR="0079733F" w:rsidRDefault="0079733F" w:rsidP="0079733F">
      <w:pPr>
        <w:ind w:left="426"/>
        <w:jc w:val="both"/>
        <w:rPr>
          <w:rFonts w:asciiTheme="minorHAnsi" w:eastAsia="Helvetica Neue" w:hAnsiTheme="minorHAnsi" w:cs="Helvetica Neue"/>
          <w:color w:val="808080"/>
          <w:highlight w:val="white"/>
        </w:rPr>
      </w:pPr>
    </w:p>
    <w:p w:rsidR="0079733F" w:rsidRPr="00357D03" w:rsidRDefault="0079733F" w:rsidP="00EF7A4A">
      <w:pPr>
        <w:rPr>
          <w:rFonts w:asciiTheme="minorHAnsi" w:eastAsia="Helvetica Neue" w:hAnsiTheme="minorHAnsi" w:cs="Helvetica Neue"/>
          <w:b/>
          <w:color w:val="002060"/>
          <w:sz w:val="28"/>
          <w:szCs w:val="28"/>
        </w:rPr>
      </w:pPr>
      <w:r w:rsidRPr="00357D03">
        <w:rPr>
          <w:rFonts w:asciiTheme="minorHAnsi" w:eastAsia="Helvetica Neue" w:hAnsiTheme="minorHAnsi" w:cs="Helvetica Neue"/>
          <w:b/>
          <w:color w:val="002060"/>
          <w:sz w:val="28"/>
          <w:szCs w:val="28"/>
        </w:rPr>
        <w:t>PLAN DE CONTINGENCIA</w:t>
      </w:r>
    </w:p>
    <w:p w:rsidR="0079733F" w:rsidRDefault="0079733F" w:rsidP="0079733F">
      <w:pPr>
        <w:rPr>
          <w:rFonts w:asciiTheme="minorHAnsi" w:eastAsia="Helvetica Neue" w:hAnsiTheme="minorHAnsi" w:cs="Helvetica Neue"/>
          <w:b/>
          <w:color w:val="0B5395"/>
          <w:sz w:val="28"/>
          <w:szCs w:val="28"/>
        </w:rPr>
      </w:pPr>
    </w:p>
    <w:p w:rsidR="0079733F" w:rsidRDefault="0079733F" w:rsidP="0079733F">
      <w:pPr>
        <w:numPr>
          <w:ilvl w:val="0"/>
          <w:numId w:val="12"/>
        </w:numPr>
        <w:ind w:left="284"/>
        <w:jc w:val="both"/>
        <w:rPr>
          <w:rFonts w:asciiTheme="minorHAnsi" w:eastAsia="Helvetica Neue" w:hAnsiTheme="minorHAnsi" w:cs="Helvetica Neue"/>
          <w:b/>
          <w:color w:val="000000"/>
          <w:sz w:val="26"/>
          <w:szCs w:val="26"/>
        </w:rPr>
      </w:pPr>
      <w:r>
        <w:rPr>
          <w:rFonts w:asciiTheme="minorHAnsi" w:eastAsia="Helvetica Neue" w:hAnsiTheme="minorHAnsi" w:cs="Helvetica Neue"/>
          <w:b/>
          <w:color w:val="000000"/>
          <w:sz w:val="22"/>
          <w:szCs w:val="22"/>
        </w:rPr>
        <w:t xml:space="preserve">Si hay personas con algún tipo de síntoma </w:t>
      </w: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>(respiratorios o fiebre) quedarse en casa (aislamiento domiciliario), informar a su responsable directo y auto-aislarse en</w:t>
      </w:r>
      <w:r>
        <w:rPr>
          <w:rFonts w:asciiTheme="minorHAnsi" w:eastAsia="Helvetica Neue" w:hAnsiTheme="minorHAnsi" w:cs="Helvetica Neue"/>
          <w:color w:val="000000"/>
          <w:sz w:val="22"/>
          <w:szCs w:val="22"/>
        </w:rPr>
        <w:t xml:space="preserve"> </w:t>
      </w: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>su domicilio durante dos semanas o hasta su completa recuperación.</w:t>
      </w:r>
    </w:p>
    <w:p w:rsidR="0079733F" w:rsidRDefault="0079733F" w:rsidP="0079733F">
      <w:pPr>
        <w:numPr>
          <w:ilvl w:val="0"/>
          <w:numId w:val="10"/>
        </w:numPr>
        <w:ind w:left="284" w:hanging="284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b/>
          <w:color w:val="000000"/>
          <w:sz w:val="22"/>
          <w:szCs w:val="22"/>
          <w:highlight w:val="white"/>
        </w:rPr>
        <w:t>Si se tienen dudas,</w:t>
      </w: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 xml:space="preserve"> tomarse la tem</w:t>
      </w: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>peratura y si es superior a 37 °</w:t>
      </w: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>C quedarse en casa, abstenerse de ir al trabajo. Informar a la empresa según lo definido en el punto anterior.</w:t>
      </w:r>
    </w:p>
    <w:p w:rsidR="0079733F" w:rsidRDefault="0079733F" w:rsidP="0079733F">
      <w:pPr>
        <w:numPr>
          <w:ilvl w:val="0"/>
          <w:numId w:val="10"/>
        </w:numPr>
        <w:ind w:left="284" w:hanging="284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 xml:space="preserve">Ante una situación de ser </w:t>
      </w:r>
      <w:r>
        <w:rPr>
          <w:rFonts w:asciiTheme="minorHAnsi" w:eastAsia="Helvetica Neue" w:hAnsiTheme="minorHAnsi" w:cs="Helvetica Neue"/>
          <w:b/>
          <w:color w:val="000000"/>
          <w:sz w:val="22"/>
          <w:szCs w:val="22"/>
          <w:highlight w:val="white"/>
        </w:rPr>
        <w:t>caso confirmado o sospechoso</w:t>
      </w: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 xml:space="preserve"> (investigado) de COVID-19, debe abstenerse de asistir al trabajo hasta que se confirmen resultados negativos o hasta que las autoridades sanitarias den por resuelta la infección, según el caso. </w:t>
      </w:r>
    </w:p>
    <w:p w:rsidR="0079733F" w:rsidRDefault="0079733F" w:rsidP="0079733F">
      <w:pPr>
        <w:ind w:left="284"/>
        <w:jc w:val="both"/>
        <w:rPr>
          <w:rFonts w:asciiTheme="minorHAnsi" w:eastAsia="Helvetica Neue" w:hAnsiTheme="minorHAnsi" w:cs="Helvetica Neue"/>
          <w:i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i/>
          <w:color w:val="000000"/>
          <w:sz w:val="22"/>
          <w:szCs w:val="22"/>
          <w:highlight w:val="white"/>
        </w:rPr>
        <w:lastRenderedPageBreak/>
        <w:t xml:space="preserve">El establecimiento debe: </w:t>
      </w:r>
    </w:p>
    <w:p w:rsidR="0079733F" w:rsidRDefault="0079733F" w:rsidP="0079733F">
      <w:pPr>
        <w:numPr>
          <w:ilvl w:val="0"/>
          <w:numId w:val="13"/>
        </w:numPr>
        <w:ind w:hanging="360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 xml:space="preserve">Disponer de los medios económicos y estratégicos suficientes para desarrollar todas las medidas de prevención recomendadas por las autoridades sanitarias. </w:t>
      </w:r>
    </w:p>
    <w:p w:rsidR="0079733F" w:rsidRDefault="0079733F" w:rsidP="0079733F">
      <w:pPr>
        <w:numPr>
          <w:ilvl w:val="0"/>
          <w:numId w:val="13"/>
        </w:numPr>
        <w:ind w:hanging="360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 xml:space="preserve">Registros de acciones que se implementen. </w:t>
      </w:r>
    </w:p>
    <w:p w:rsidR="0079733F" w:rsidRDefault="0079733F" w:rsidP="0079733F">
      <w:pPr>
        <w:numPr>
          <w:ilvl w:val="0"/>
          <w:numId w:val="13"/>
        </w:numPr>
        <w:ind w:hanging="360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 xml:space="preserve">Aumento de la frecuencia de limpieza y desinfección de superficies potencialmente contaminadas. </w:t>
      </w:r>
    </w:p>
    <w:p w:rsidR="0079733F" w:rsidRDefault="0079733F" w:rsidP="0079733F">
      <w:pPr>
        <w:ind w:left="284"/>
        <w:jc w:val="both"/>
        <w:rPr>
          <w:rFonts w:asciiTheme="minorHAnsi" w:eastAsia="Helvetica Neue" w:hAnsiTheme="minorHAnsi" w:cs="Helvetica Neue"/>
          <w:color w:val="000000"/>
          <w:sz w:val="22"/>
          <w:szCs w:val="22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>Las personas que hayan tenido contacto con personas que hayan viajado o con casos confirmados o probables y con síntomas, deben quedarse en su casa, aislarse del resto y avisar rápidamente los servicios de salud y al propietario/responsable del establecimiento.</w:t>
      </w:r>
      <w:r>
        <w:rPr>
          <w:rFonts w:asciiTheme="minorHAnsi" w:eastAsia="Helvetica Neue" w:hAnsiTheme="minorHAnsi" w:cs="Helvetica Neue"/>
          <w:color w:val="000000"/>
          <w:sz w:val="22"/>
          <w:szCs w:val="22"/>
        </w:rPr>
        <w:t xml:space="preserve"> </w:t>
      </w:r>
    </w:p>
    <w:p w:rsidR="0079733F" w:rsidRDefault="0079733F" w:rsidP="0079733F">
      <w:pPr>
        <w:ind w:left="284"/>
        <w:jc w:val="both"/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</w:pPr>
      <w:r>
        <w:rPr>
          <w:rFonts w:asciiTheme="minorHAnsi" w:eastAsia="Helvetica Neue" w:hAnsiTheme="minorHAnsi" w:cs="Helvetica Neue"/>
          <w:color w:val="000000"/>
          <w:sz w:val="22"/>
          <w:szCs w:val="22"/>
          <w:highlight w:val="white"/>
        </w:rPr>
        <w:t>Si hubiera personas que por su trabajo o por las precauciones implementadas, no tuvieron contacto estrecho con la persona enferma, posiblemente las autoridades analicen la posibilidad de la continuidad laboral.</w:t>
      </w:r>
    </w:p>
    <w:p w:rsidR="0079733F" w:rsidRDefault="0079733F" w:rsidP="0079733F">
      <w:pPr>
        <w:ind w:left="284"/>
        <w:jc w:val="both"/>
        <w:rPr>
          <w:rFonts w:asciiTheme="minorHAnsi" w:eastAsia="Helvetica Neue" w:hAnsiTheme="minorHAnsi" w:cs="Helvetica Neue"/>
          <w:color w:val="85868C"/>
          <w:highlight w:val="white"/>
        </w:rPr>
      </w:pPr>
    </w:p>
    <w:p w:rsidR="0079733F" w:rsidRPr="00E03BDD" w:rsidRDefault="0079733F" w:rsidP="0079733F">
      <w:pPr>
        <w:shd w:val="clear" w:color="auto" w:fill="EEECE1"/>
        <w:jc w:val="both"/>
        <w:rPr>
          <w:rFonts w:asciiTheme="minorHAnsi" w:eastAsia="Helvetica Neue" w:hAnsiTheme="minorHAnsi" w:cs="Helvetica Neue"/>
          <w:color w:val="002060"/>
        </w:rPr>
      </w:pPr>
      <w:r w:rsidRPr="00E03BDD">
        <w:rPr>
          <w:rFonts w:asciiTheme="minorHAnsi" w:eastAsia="Helvetica Neue" w:hAnsiTheme="minorHAnsi" w:cs="Helvetica Neue"/>
          <w:color w:val="002060"/>
        </w:rPr>
        <w:t>En síntesis: el comercio podrá operar a partir de estas alternativas:</w:t>
      </w:r>
    </w:p>
    <w:p w:rsidR="0079733F" w:rsidRPr="00E03BDD" w:rsidRDefault="0079733F" w:rsidP="0079733F">
      <w:pPr>
        <w:shd w:val="clear" w:color="auto" w:fill="EEECE1"/>
        <w:jc w:val="both"/>
        <w:rPr>
          <w:rFonts w:asciiTheme="minorHAnsi" w:eastAsia="Helvetica Neue" w:hAnsiTheme="minorHAnsi" w:cs="Helvetica Neue"/>
          <w:color w:val="002060"/>
        </w:rPr>
      </w:pPr>
      <w:r w:rsidRPr="00E03BDD">
        <w:rPr>
          <w:rFonts w:asciiTheme="minorHAnsi" w:eastAsia="Helvetica Neue" w:hAnsiTheme="minorHAnsi" w:cs="Helvetica Neue"/>
          <w:color w:val="002060"/>
        </w:rPr>
        <w:t>a) con personal de reemplazo,</w:t>
      </w:r>
    </w:p>
    <w:p w:rsidR="0079733F" w:rsidRPr="00E03BDD" w:rsidRDefault="0079733F" w:rsidP="0079733F">
      <w:pPr>
        <w:shd w:val="clear" w:color="auto" w:fill="EEECE1"/>
        <w:tabs>
          <w:tab w:val="left" w:pos="284"/>
        </w:tabs>
        <w:jc w:val="both"/>
        <w:rPr>
          <w:rFonts w:asciiTheme="minorHAnsi" w:eastAsia="Helvetica Neue" w:hAnsiTheme="minorHAnsi" w:cs="Helvetica Neue"/>
          <w:color w:val="002060"/>
        </w:rPr>
      </w:pPr>
      <w:r w:rsidRPr="00E03BDD">
        <w:rPr>
          <w:rFonts w:asciiTheme="minorHAnsi" w:eastAsia="Helvetica Neue" w:hAnsiTheme="minorHAnsi" w:cs="Helvetica Neue"/>
          <w:color w:val="002060"/>
        </w:rPr>
        <w:t>b) con personal que a criterio de la autoridad pueda seguir trabajando y</w:t>
      </w:r>
    </w:p>
    <w:p w:rsidR="0079733F" w:rsidRPr="00E03BDD" w:rsidRDefault="0079733F" w:rsidP="0079733F">
      <w:pPr>
        <w:shd w:val="clear" w:color="auto" w:fill="EEECE1"/>
        <w:jc w:val="both"/>
        <w:rPr>
          <w:rFonts w:asciiTheme="minorHAnsi" w:eastAsia="Helvetica Neue" w:hAnsiTheme="minorHAnsi" w:cs="Helvetica Neue"/>
          <w:color w:val="002060"/>
        </w:rPr>
      </w:pPr>
      <w:r w:rsidRPr="00E03BDD">
        <w:rPr>
          <w:rFonts w:asciiTheme="minorHAnsi" w:eastAsia="Helvetica Neue" w:hAnsiTheme="minorHAnsi" w:cs="Helvetica Neue"/>
          <w:color w:val="002060"/>
        </w:rPr>
        <w:t>c) combinado ambas situaciones</w:t>
      </w:r>
    </w:p>
    <w:p w:rsidR="0079733F" w:rsidRDefault="0079733F" w:rsidP="0079733F">
      <w:pPr>
        <w:jc w:val="center"/>
        <w:rPr>
          <w:rFonts w:asciiTheme="minorHAnsi" w:eastAsia="Arial" w:hAnsiTheme="minorHAnsi" w:cs="DroidSans-Bold"/>
          <w:b/>
          <w:bCs/>
          <w:color w:val="000000"/>
          <w:sz w:val="26"/>
          <w:szCs w:val="26"/>
          <w:highlight w:val="lightGray"/>
          <w:lang w:eastAsia="es-AR"/>
        </w:rPr>
      </w:pPr>
    </w:p>
    <w:p w:rsidR="005B7AA9" w:rsidRPr="0079733F" w:rsidRDefault="005B7AA9" w:rsidP="0079733F"/>
    <w:sectPr w:rsidR="005B7AA9" w:rsidRPr="0079733F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-Bold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DD" w:rsidRDefault="00EF7A4A">
    <w:pPr>
      <w:pBdr>
        <w:bottom w:val="single" w:sz="18" w:space="1" w:color="7F7F7F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2066B1" wp14:editId="08106706">
          <wp:simplePos x="0" y="0"/>
          <wp:positionH relativeFrom="column">
            <wp:posOffset>4349750</wp:posOffset>
          </wp:positionH>
          <wp:positionV relativeFrom="paragraph">
            <wp:posOffset>-74295</wp:posOffset>
          </wp:positionV>
          <wp:extent cx="975360" cy="351790"/>
          <wp:effectExtent l="0" t="0" r="0" b="0"/>
          <wp:wrapTight wrapText="bothSides">
            <wp:wrapPolygon edited="0">
              <wp:start x="8107" y="0"/>
              <wp:lineTo x="3876" y="763"/>
              <wp:lineTo x="1901" y="4662"/>
              <wp:lineTo x="1336" y="20972"/>
              <wp:lineTo x="21367" y="20972"/>
              <wp:lineTo x="21367" y="7764"/>
              <wp:lineTo x="18833" y="763"/>
              <wp:lineTo x="16292" y="0"/>
              <wp:lineTo x="8107" y="0"/>
            </wp:wrapPolygon>
          </wp:wrapTight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84D1908" wp14:editId="40C64F87">
          <wp:extent cx="1591310" cy="378460"/>
          <wp:effectExtent l="0" t="0" r="0" b="0"/>
          <wp:docPr id="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0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</w:p>
  <w:p w:rsidR="00E03BDD" w:rsidRDefault="00EF7A4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34F"/>
    <w:multiLevelType w:val="multilevel"/>
    <w:tmpl w:val="F5488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771F36"/>
    <w:multiLevelType w:val="multilevel"/>
    <w:tmpl w:val="2FFADBD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7D2D34"/>
    <w:multiLevelType w:val="multilevel"/>
    <w:tmpl w:val="CA629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EC7A9F"/>
    <w:multiLevelType w:val="multilevel"/>
    <w:tmpl w:val="FD86A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EAE624C"/>
    <w:multiLevelType w:val="multilevel"/>
    <w:tmpl w:val="97EE1B9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67111D"/>
    <w:multiLevelType w:val="multilevel"/>
    <w:tmpl w:val="4D147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6">
    <w:nsid w:val="0F722F52"/>
    <w:multiLevelType w:val="multilevel"/>
    <w:tmpl w:val="4AC01A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991A23"/>
    <w:multiLevelType w:val="multilevel"/>
    <w:tmpl w:val="C83E8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8">
    <w:nsid w:val="101C416E"/>
    <w:multiLevelType w:val="multilevel"/>
    <w:tmpl w:val="BC80FA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10733F3E"/>
    <w:multiLevelType w:val="multilevel"/>
    <w:tmpl w:val="EC2853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9CD1080"/>
    <w:multiLevelType w:val="multilevel"/>
    <w:tmpl w:val="7B88A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0346D8"/>
    <w:multiLevelType w:val="multilevel"/>
    <w:tmpl w:val="23C47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C7F9C"/>
    <w:multiLevelType w:val="multilevel"/>
    <w:tmpl w:val="C770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21351874"/>
    <w:multiLevelType w:val="multilevel"/>
    <w:tmpl w:val="9EDE3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4">
    <w:nsid w:val="24601D70"/>
    <w:multiLevelType w:val="multilevel"/>
    <w:tmpl w:val="30FE0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259E49EC"/>
    <w:multiLevelType w:val="multilevel"/>
    <w:tmpl w:val="707A5B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7A526B"/>
    <w:multiLevelType w:val="multilevel"/>
    <w:tmpl w:val="513C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27924915"/>
    <w:multiLevelType w:val="multilevel"/>
    <w:tmpl w:val="C0A06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2BDC5F18"/>
    <w:multiLevelType w:val="multilevel"/>
    <w:tmpl w:val="BF12B97A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A614B"/>
    <w:multiLevelType w:val="multilevel"/>
    <w:tmpl w:val="71487926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392630A3"/>
    <w:multiLevelType w:val="multilevel"/>
    <w:tmpl w:val="468E31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886995"/>
    <w:multiLevelType w:val="multilevel"/>
    <w:tmpl w:val="81DA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84EAF"/>
    <w:multiLevelType w:val="multilevel"/>
    <w:tmpl w:val="88500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4BA24B00"/>
    <w:multiLevelType w:val="multilevel"/>
    <w:tmpl w:val="1C28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8F6A8D"/>
    <w:multiLevelType w:val="multilevel"/>
    <w:tmpl w:val="03727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5F7B2985"/>
    <w:multiLevelType w:val="multilevel"/>
    <w:tmpl w:val="37A65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60C834A9"/>
    <w:multiLevelType w:val="multilevel"/>
    <w:tmpl w:val="F84AB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62121432"/>
    <w:multiLevelType w:val="multilevel"/>
    <w:tmpl w:val="DD3CE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3D18A5"/>
    <w:multiLevelType w:val="multilevel"/>
    <w:tmpl w:val="72D4C8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888711F"/>
    <w:multiLevelType w:val="multilevel"/>
    <w:tmpl w:val="11508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F64B0"/>
    <w:multiLevelType w:val="multilevel"/>
    <w:tmpl w:val="E51604B4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04C3D"/>
    <w:multiLevelType w:val="multilevel"/>
    <w:tmpl w:val="1810842E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8834BC"/>
    <w:multiLevelType w:val="multilevel"/>
    <w:tmpl w:val="80E4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7"/>
  </w:num>
  <w:num w:numId="3">
    <w:abstractNumId w:val="1"/>
  </w:num>
  <w:num w:numId="4">
    <w:abstractNumId w:val="30"/>
  </w:num>
  <w:num w:numId="5">
    <w:abstractNumId w:val="3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7"/>
  </w:num>
  <w:num w:numId="11">
    <w:abstractNumId w:val="5"/>
  </w:num>
  <w:num w:numId="12">
    <w:abstractNumId w:val="13"/>
  </w:num>
  <w:num w:numId="13">
    <w:abstractNumId w:val="6"/>
  </w:num>
  <w:num w:numId="14">
    <w:abstractNumId w:val="11"/>
  </w:num>
  <w:num w:numId="15">
    <w:abstractNumId w:val="29"/>
  </w:num>
  <w:num w:numId="16">
    <w:abstractNumId w:val="16"/>
  </w:num>
  <w:num w:numId="17">
    <w:abstractNumId w:val="8"/>
  </w:num>
  <w:num w:numId="18">
    <w:abstractNumId w:val="14"/>
  </w:num>
  <w:num w:numId="19">
    <w:abstractNumId w:val="32"/>
  </w:num>
  <w:num w:numId="20">
    <w:abstractNumId w:val="23"/>
  </w:num>
  <w:num w:numId="21">
    <w:abstractNumId w:val="12"/>
  </w:num>
  <w:num w:numId="22">
    <w:abstractNumId w:val="21"/>
  </w:num>
  <w:num w:numId="23">
    <w:abstractNumId w:val="20"/>
  </w:num>
  <w:num w:numId="24">
    <w:abstractNumId w:val="25"/>
  </w:num>
  <w:num w:numId="25">
    <w:abstractNumId w:val="3"/>
  </w:num>
  <w:num w:numId="26">
    <w:abstractNumId w:val="24"/>
  </w:num>
  <w:num w:numId="27">
    <w:abstractNumId w:val="17"/>
  </w:num>
  <w:num w:numId="28">
    <w:abstractNumId w:val="26"/>
  </w:num>
  <w:num w:numId="29">
    <w:abstractNumId w:val="22"/>
  </w:num>
  <w:num w:numId="30">
    <w:abstractNumId w:val="19"/>
  </w:num>
  <w:num w:numId="31">
    <w:abstractNumId w:val="10"/>
  </w:num>
  <w:num w:numId="32">
    <w:abstractNumId w:val="0"/>
  </w:num>
  <w:num w:numId="33">
    <w:abstractNumId w:val="28"/>
  </w:num>
  <w:num w:numId="34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cs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cs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  <w:sz w:val="20"/>
        </w:rPr>
      </w:lvl>
    </w:lvlOverride>
  </w:num>
  <w:num w:numId="35">
    <w:abstractNumId w:val="16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cs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cs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cs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cs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cs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  <w:sz w:val="20"/>
        </w:rPr>
      </w:lvl>
    </w:lvlOverride>
  </w:num>
  <w:num w:numId="36">
    <w:abstractNumId w:val="21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3F"/>
    <w:rsid w:val="005B7AA9"/>
    <w:rsid w:val="0079733F"/>
    <w:rsid w:val="00E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3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9733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733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733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7973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7973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79733F"/>
    <w:rPr>
      <w:rFonts w:asciiTheme="majorHAnsi" w:eastAsiaTheme="majorEastAsia" w:hAnsiTheme="majorHAnsi" w:cstheme="majorBidi"/>
      <w:i/>
      <w:iCs/>
      <w:color w:val="365F91" w:themeColor="accent1" w:themeShade="BF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9733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9733F"/>
  </w:style>
  <w:style w:type="character" w:customStyle="1" w:styleId="EnlacedeInternet">
    <w:name w:val="Enlace de Internet"/>
    <w:basedOn w:val="Fuentedeprrafopredeter"/>
    <w:unhideWhenUsed/>
    <w:rsid w:val="0079733F"/>
    <w:rPr>
      <w:color w:val="0000FF"/>
      <w:u w:val="single"/>
    </w:rPr>
  </w:style>
  <w:style w:type="paragraph" w:styleId="Ttulo">
    <w:name w:val="Title"/>
    <w:basedOn w:val="Normal"/>
    <w:next w:val="Textoindependiente"/>
    <w:link w:val="TtuloCar"/>
    <w:qFormat/>
    <w:rsid w:val="007973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79733F"/>
    <w:rPr>
      <w:rFonts w:ascii="Liberation Sans" w:eastAsia="Microsoft YaHei" w:hAnsi="Liberation Sans" w:cs="Lucida Sans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79733F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79733F"/>
    <w:rPr>
      <w:rFonts w:ascii="Arial" w:eastAsia="Times New Roman" w:hAnsi="Arial" w:cs="Arial"/>
      <w:sz w:val="24"/>
      <w:szCs w:val="24"/>
      <w:lang w:eastAsia="es-ES"/>
    </w:rPr>
  </w:style>
  <w:style w:type="paragraph" w:styleId="Lista">
    <w:name w:val="List"/>
    <w:basedOn w:val="Textoindependiente"/>
    <w:rsid w:val="0079733F"/>
    <w:rPr>
      <w:rFonts w:cs="Lucida Sans"/>
    </w:rPr>
  </w:style>
  <w:style w:type="paragraph" w:styleId="Epgrafe">
    <w:name w:val="caption"/>
    <w:basedOn w:val="Normal"/>
    <w:qFormat/>
    <w:rsid w:val="0079733F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79733F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  <w:rsid w:val="0079733F"/>
  </w:style>
  <w:style w:type="paragraph" w:styleId="Encabezado">
    <w:name w:val="header"/>
    <w:basedOn w:val="Normal"/>
    <w:link w:val="EncabezadoCar"/>
    <w:uiPriority w:val="99"/>
    <w:unhideWhenUsed/>
    <w:rsid w:val="0079733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79733F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733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79733F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33F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unhideWhenUsed/>
    <w:qFormat/>
    <w:rsid w:val="0079733F"/>
    <w:pPr>
      <w:spacing w:beforeAutospacing="1" w:afterAutospacing="1"/>
    </w:pPr>
    <w:rPr>
      <w:rFonts w:ascii="Times New Roman" w:hAnsi="Times New Roman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33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3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9733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733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9733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7973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79733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79733F"/>
    <w:rPr>
      <w:rFonts w:asciiTheme="majorHAnsi" w:eastAsiaTheme="majorEastAsia" w:hAnsiTheme="majorHAnsi" w:cstheme="majorBidi"/>
      <w:i/>
      <w:iCs/>
      <w:color w:val="365F91" w:themeColor="accent1" w:themeShade="BF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9733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9733F"/>
  </w:style>
  <w:style w:type="character" w:customStyle="1" w:styleId="EnlacedeInternet">
    <w:name w:val="Enlace de Internet"/>
    <w:basedOn w:val="Fuentedeprrafopredeter"/>
    <w:unhideWhenUsed/>
    <w:rsid w:val="0079733F"/>
    <w:rPr>
      <w:color w:val="0000FF"/>
      <w:u w:val="single"/>
    </w:rPr>
  </w:style>
  <w:style w:type="paragraph" w:styleId="Ttulo">
    <w:name w:val="Title"/>
    <w:basedOn w:val="Normal"/>
    <w:next w:val="Textoindependiente"/>
    <w:link w:val="TtuloCar"/>
    <w:qFormat/>
    <w:rsid w:val="007973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79733F"/>
    <w:rPr>
      <w:rFonts w:ascii="Liberation Sans" w:eastAsia="Microsoft YaHei" w:hAnsi="Liberation Sans" w:cs="Lucida Sans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79733F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79733F"/>
    <w:rPr>
      <w:rFonts w:ascii="Arial" w:eastAsia="Times New Roman" w:hAnsi="Arial" w:cs="Arial"/>
      <w:sz w:val="24"/>
      <w:szCs w:val="24"/>
      <w:lang w:eastAsia="es-ES"/>
    </w:rPr>
  </w:style>
  <w:style w:type="paragraph" w:styleId="Lista">
    <w:name w:val="List"/>
    <w:basedOn w:val="Textoindependiente"/>
    <w:rsid w:val="0079733F"/>
    <w:rPr>
      <w:rFonts w:cs="Lucida Sans"/>
    </w:rPr>
  </w:style>
  <w:style w:type="paragraph" w:styleId="Epgrafe">
    <w:name w:val="caption"/>
    <w:basedOn w:val="Normal"/>
    <w:qFormat/>
    <w:rsid w:val="0079733F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79733F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  <w:rsid w:val="0079733F"/>
  </w:style>
  <w:style w:type="paragraph" w:styleId="Encabezado">
    <w:name w:val="header"/>
    <w:basedOn w:val="Normal"/>
    <w:link w:val="EncabezadoCar"/>
    <w:uiPriority w:val="99"/>
    <w:unhideWhenUsed/>
    <w:rsid w:val="0079733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79733F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733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79733F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33F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unhideWhenUsed/>
    <w:qFormat/>
    <w:rsid w:val="0079733F"/>
    <w:pPr>
      <w:spacing w:beforeAutospacing="1" w:afterAutospacing="1"/>
    </w:pPr>
    <w:rPr>
      <w:rFonts w:ascii="Times New Roman" w:hAnsi="Times New Roman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33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EquipoPc</dc:creator>
  <cp:lastModifiedBy>EquipoPc</cp:lastModifiedBy>
  <cp:revision>2</cp:revision>
  <dcterms:created xsi:type="dcterms:W3CDTF">2020-04-19T17:11:00Z</dcterms:created>
  <dcterms:modified xsi:type="dcterms:W3CDTF">2020-04-19T17:43:00Z</dcterms:modified>
</cp:coreProperties>
</file>